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6F0F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1903A6">
        <w:rPr>
          <w:rFonts w:ascii="Trebuchet MS" w:hAnsi="Trebuchet MS"/>
          <w:b/>
          <w:sz w:val="24"/>
          <w:szCs w:val="24"/>
        </w:rPr>
        <w:t>PARASHÁ KI TETSÊ</w:t>
      </w:r>
    </w:p>
    <w:p w14:paraId="2A8A6FA9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903A6">
        <w:rPr>
          <w:rFonts w:ascii="Trebuchet MS" w:hAnsi="Trebuchet MS"/>
          <w:b/>
          <w:sz w:val="24"/>
          <w:szCs w:val="24"/>
        </w:rPr>
        <w:t>Shabat de 17 de Setembro de 2016 (14 de Elul de 5776)</w:t>
      </w:r>
    </w:p>
    <w:p w14:paraId="1BEA7EBD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0E0CD20F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 w:rsidRPr="001903A6">
        <w:rPr>
          <w:rFonts w:ascii="Trebuchet MS" w:hAnsi="Trebuchet MS"/>
          <w:b/>
          <w:sz w:val="28"/>
          <w:szCs w:val="28"/>
        </w:rPr>
        <w:t>AMOR NÃO É SUFICIENTE</w:t>
      </w:r>
    </w:p>
    <w:p w14:paraId="1CE3422C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556E58B7" w14:textId="77777777" w:rsidR="001E576E" w:rsidRPr="001903A6" w:rsidRDefault="001E576E" w:rsidP="001E576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,BoldItalic"/>
          <w:b/>
          <w:bCs/>
          <w:i/>
          <w:iCs/>
          <w:color w:val="4F82BE"/>
          <w:sz w:val="24"/>
          <w:szCs w:val="24"/>
        </w:rPr>
      </w:pPr>
      <w:r w:rsidRPr="001903A6">
        <w:rPr>
          <w:rFonts w:ascii="Trebuchet MS" w:hAnsi="Trebuchet MS" w:cs="Trebuchet MS,BoldItalic"/>
          <w:b/>
          <w:bCs/>
          <w:i/>
          <w:iCs/>
          <w:color w:val="4F82BE"/>
          <w:sz w:val="24"/>
          <w:szCs w:val="24"/>
        </w:rPr>
        <w:t>Uma parceria da Sinagoga Edmond J. Safra - Ipanema com o escritório do Rabino Jonathan Sacks (The Office of Rabbi Sacks)</w:t>
      </w:r>
    </w:p>
    <w:p w14:paraId="054E504E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86B826D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Na parashá desta semana, que está carregada de leis, uma em particular é fascinante. Eis aqui:</w:t>
      </w:r>
    </w:p>
    <w:p w14:paraId="3F774B04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Se um homem tem duas esposas, uma que é amada, e a outra que não é amada [</w:t>
      </w:r>
      <w:r w:rsidRPr="001903A6">
        <w:rPr>
          <w:rFonts w:ascii="Trebuchet MS" w:hAnsi="Trebuchet MS"/>
          <w:i/>
        </w:rPr>
        <w:t>senuá</w:t>
      </w:r>
      <w:r w:rsidRPr="001903A6">
        <w:rPr>
          <w:rFonts w:ascii="Trebuchet MS" w:hAnsi="Trebuchet MS"/>
        </w:rPr>
        <w:t>, literalmente, odiada], e ambas, a amada e a não-amada, lhe dão filhos, sendo o primogênito o filho da não-amada, então, quando ele quiser dar sua propriedade para seus filhos, ele não deve dar os direitos do primogênito ao filho da esposa amada; Ele precisa reconhecer [os direitos legais] do primogênito de sua esposa não-amada de forma a dar a ele uma parte dupla de tudo que ele tem, pois ele é o primeiro da força de seu pai. O direito de nascimento é legalmente seu (Deut. 21:15-17).</w:t>
      </w:r>
    </w:p>
    <w:p w14:paraId="5E85B3DD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A lei faz sentido eminente. Na Israel bíblica, o primogênito tinha direito a uma quota de casal na herança de seu pai (1). O que a lei nos diz é que esta não está a critério do pai. Ele não pode optar por transferir esse privilégio de um filho para outro em particular; ele não pode fazer isso, favorecendo o filho da mulher que ele mais ama, se de fato seu primogênito veio de outra mulher.</w:t>
      </w:r>
    </w:p>
    <w:p w14:paraId="4A521634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As três leis que abrem a parashá - uma mulher tomada cativa no decurso da guerra, a lei acima sobre os direitos do primogênito e o “filho obstinado e rebelde” - são todas sobre disfunções no seio da família. Os sábios disseram que elas foram dadas a fim de sugerir que alguém que leva uma mulher cativa vai sofrer de conflitos em casa, e o resultado será um filho delinquente (2).  No judaísmo, o casamento é visto como a base da sociedade. Desordem </w:t>
      </w:r>
      <w:r>
        <w:rPr>
          <w:rFonts w:ascii="Trebuchet MS" w:hAnsi="Trebuchet MS"/>
        </w:rPr>
        <w:t xml:space="preserve">no casamento </w:t>
      </w:r>
      <w:r w:rsidRPr="001903A6">
        <w:rPr>
          <w:rFonts w:ascii="Trebuchet MS" w:hAnsi="Trebuchet MS"/>
        </w:rPr>
        <w:t>leva à desordem em outro lugar. Até aqui, tudo claro.</w:t>
      </w:r>
    </w:p>
    <w:p w14:paraId="4A2A9877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O que é extraordinário sobre isso é que parece </w:t>
      </w:r>
      <w:r>
        <w:rPr>
          <w:rFonts w:ascii="Trebuchet MS" w:hAnsi="Trebuchet MS"/>
        </w:rPr>
        <w:t xml:space="preserve">conflitar de maneira precisa </w:t>
      </w:r>
      <w:r w:rsidRPr="001903A6">
        <w:rPr>
          <w:rFonts w:ascii="Trebuchet MS" w:hAnsi="Trebuchet MS"/>
        </w:rPr>
        <w:t xml:space="preserve">com uma grande narrativa da Torá, </w:t>
      </w:r>
      <w:r>
        <w:rPr>
          <w:rFonts w:ascii="Trebuchet MS" w:hAnsi="Trebuchet MS"/>
        </w:rPr>
        <w:t xml:space="preserve">qual </w:t>
      </w:r>
      <w:r w:rsidRPr="001903A6">
        <w:rPr>
          <w:rFonts w:ascii="Trebuchet MS" w:hAnsi="Trebuchet MS"/>
        </w:rPr>
        <w:t xml:space="preserve">seja, Jacob e suas duas mulheres, Leah e Rachel. De fato, a Torá, </w:t>
      </w:r>
      <w:r>
        <w:rPr>
          <w:rFonts w:ascii="Trebuchet MS" w:hAnsi="Trebuchet MS"/>
        </w:rPr>
        <w:t xml:space="preserve">no </w:t>
      </w:r>
      <w:r w:rsidRPr="001903A6">
        <w:rPr>
          <w:rFonts w:ascii="Trebuchet MS" w:hAnsi="Trebuchet MS"/>
        </w:rPr>
        <w:t xml:space="preserve">seu uso da linguagem, faz ligações verbais inconfundíveis entre as duas passagens. Uma delas é o par de opostos, </w:t>
      </w:r>
      <w:r w:rsidRPr="001903A6">
        <w:rPr>
          <w:rFonts w:ascii="Trebuchet MS" w:hAnsi="Trebuchet MS"/>
          <w:i/>
        </w:rPr>
        <w:t>ahuvá</w:t>
      </w:r>
      <w:r w:rsidRPr="001903A6">
        <w:rPr>
          <w:rFonts w:ascii="Trebuchet MS" w:hAnsi="Trebuchet MS"/>
        </w:rPr>
        <w:t xml:space="preserve"> / </w:t>
      </w:r>
      <w:r w:rsidRPr="001903A6">
        <w:rPr>
          <w:rFonts w:ascii="Trebuchet MS" w:hAnsi="Trebuchet MS"/>
          <w:i/>
        </w:rPr>
        <w:t>senuá</w:t>
      </w:r>
      <w:r w:rsidRPr="001903A6">
        <w:rPr>
          <w:rFonts w:ascii="Trebuchet MS" w:hAnsi="Trebuchet MS"/>
        </w:rPr>
        <w:t>, “amada” e “não amada / odiada”. Esta é precisamente a forma como a Torá descreve Rachel e Leah.</w:t>
      </w:r>
    </w:p>
    <w:p w14:paraId="5F27E352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Recorde o contexto. Fugindo de sua casa para a de seu tio Labão, Jacob apaixonou-se à primeira vista por Rachel e trabalhou sete anos para se casar com ela. Na noite do casamento, no entanto, Labão substituiu Rachel por sua filha mais velha Leah. Quando Jacob reclamou: “Por que você me enganou?” Labão respondeu, com ironia </w:t>
      </w:r>
      <w:r w:rsidRPr="001903A6">
        <w:rPr>
          <w:rFonts w:ascii="Trebuchet MS" w:hAnsi="Trebuchet MS"/>
        </w:rPr>
        <w:lastRenderedPageBreak/>
        <w:t xml:space="preserve">intencional, “Não é costume em nosso lugar que se dê a </w:t>
      </w:r>
      <w:r>
        <w:rPr>
          <w:rFonts w:ascii="Trebuchet MS" w:hAnsi="Trebuchet MS"/>
        </w:rPr>
        <w:t xml:space="preserve">mais nova </w:t>
      </w:r>
      <w:r w:rsidRPr="001903A6">
        <w:rPr>
          <w:rFonts w:ascii="Trebuchet MS" w:hAnsi="Trebuchet MS"/>
        </w:rPr>
        <w:t xml:space="preserve">antes da mais velha” (3). Jacob então concordou em trabalhar mais sete anos por Rachel. O segundo casamento ocorreu uma </w:t>
      </w:r>
      <w:r>
        <w:rPr>
          <w:rFonts w:ascii="Trebuchet MS" w:hAnsi="Trebuchet MS"/>
        </w:rPr>
        <w:t xml:space="preserve">mera </w:t>
      </w:r>
      <w:r w:rsidRPr="001903A6">
        <w:rPr>
          <w:rFonts w:ascii="Trebuchet MS" w:hAnsi="Trebuchet MS"/>
        </w:rPr>
        <w:t>semana após o primeiro. Em seguida, lê-se:</w:t>
      </w:r>
    </w:p>
    <w:p w14:paraId="1848B5AE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E [Jacob] casou também com Rachel, e amou Rachel mais do que Leah... D-s viu que Leah era </w:t>
      </w:r>
      <w:r>
        <w:rPr>
          <w:rFonts w:ascii="Trebuchet MS" w:hAnsi="Trebuchet MS"/>
        </w:rPr>
        <w:t>não-amada</w:t>
      </w:r>
      <w:r w:rsidRPr="001903A6">
        <w:rPr>
          <w:rFonts w:ascii="Trebuchet MS" w:hAnsi="Trebuchet MS"/>
        </w:rPr>
        <w:t xml:space="preserve"> [</w:t>
      </w:r>
      <w:r>
        <w:rPr>
          <w:rFonts w:ascii="Trebuchet MS" w:hAnsi="Trebuchet MS"/>
          <w:i/>
        </w:rPr>
        <w:t>senuá</w:t>
      </w:r>
      <w:r w:rsidRPr="001903A6">
        <w:rPr>
          <w:rFonts w:ascii="Trebuchet MS" w:hAnsi="Trebuchet MS"/>
        </w:rPr>
        <w:t>] e abriu seu ventre, mas Rachel permaneceu estéril (Gen. 29:30-31).</w:t>
      </w:r>
    </w:p>
    <w:p w14:paraId="386E9579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Leah chamou seu primogênito Reuben, mas sua mágoa por ter sido menos amada permaneceu; e lemos o seguinte sobre o nascimento de seu segundo filho:</w:t>
      </w:r>
    </w:p>
    <w:p w14:paraId="056924D1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Ela engravidou novamente e teve um filho. “D-s ouviu que eu </w:t>
      </w:r>
      <w:r>
        <w:rPr>
          <w:rFonts w:ascii="Trebuchet MS" w:hAnsi="Trebuchet MS"/>
        </w:rPr>
        <w:t xml:space="preserve">fui </w:t>
      </w:r>
      <w:r w:rsidRPr="001903A6">
        <w:rPr>
          <w:rFonts w:ascii="Trebuchet MS" w:hAnsi="Trebuchet MS"/>
        </w:rPr>
        <w:t>desprezada [</w:t>
      </w:r>
      <w:r>
        <w:rPr>
          <w:rFonts w:ascii="Trebuchet MS" w:hAnsi="Trebuchet MS"/>
          <w:i/>
        </w:rPr>
        <w:t>senuá</w:t>
      </w:r>
      <w:r w:rsidRPr="001903A6">
        <w:rPr>
          <w:rFonts w:ascii="Trebuchet MS" w:hAnsi="Trebuchet MS"/>
        </w:rPr>
        <w:t>]”, disse ela, “e Ele me deu também este filho”. Ela chamou a criança Shimon (Gen. 29:33).</w:t>
      </w:r>
    </w:p>
    <w:p w14:paraId="2DB621F2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A palavra </w:t>
      </w:r>
      <w:r>
        <w:rPr>
          <w:rFonts w:ascii="Trebuchet MS" w:hAnsi="Trebuchet MS"/>
          <w:i/>
        </w:rPr>
        <w:t>senuá</w:t>
      </w:r>
      <w:r w:rsidRPr="001903A6">
        <w:rPr>
          <w:rFonts w:ascii="Trebuchet MS" w:hAnsi="Trebuchet MS"/>
        </w:rPr>
        <w:t xml:space="preserve"> aparece apenas quatro vezes na Torá, duas vezes na passagem acima sobre Leah, e duas vezes em nossa parashá, na lei dos direitos do primogênito.</w:t>
      </w:r>
    </w:p>
    <w:p w14:paraId="3F410759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Existe uma ligação ainda mais forte. A frase incomum “primeiro da força [do pai]” aparece apenas duas vezes na Torá. Aqui (“porque ele é o primeiro da força do seu pai”) e em relação a Reuben, o primogênito de Leah: “Reuben, tu és meu primogênito, minha </w:t>
      </w:r>
      <w:r>
        <w:rPr>
          <w:rFonts w:ascii="Trebuchet MS" w:hAnsi="Trebuchet MS"/>
        </w:rPr>
        <w:t>potência</w:t>
      </w:r>
      <w:r w:rsidRPr="001903A6">
        <w:rPr>
          <w:rFonts w:ascii="Trebuchet MS" w:hAnsi="Trebuchet MS"/>
        </w:rPr>
        <w:t xml:space="preserve"> e o primeiro da minha força, em primeiro lugar na classificação e primeiro no poder” (Gen. 49:3).</w:t>
      </w:r>
    </w:p>
    <w:p w14:paraId="3CC3B148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Devido a tais </w:t>
      </w:r>
      <w:r>
        <w:rPr>
          <w:rFonts w:ascii="Trebuchet MS" w:hAnsi="Trebuchet MS"/>
        </w:rPr>
        <w:t>consideráveis paralelos linguístico</w:t>
      </w:r>
      <w:r w:rsidRPr="001903A6">
        <w:rPr>
          <w:rFonts w:ascii="Trebuchet MS" w:hAnsi="Trebuchet MS"/>
        </w:rPr>
        <w:t xml:space="preserve">s, o leitor atento não pode deixar de </w:t>
      </w:r>
      <w:r>
        <w:rPr>
          <w:rFonts w:ascii="Trebuchet MS" w:hAnsi="Trebuchet MS"/>
        </w:rPr>
        <w:t xml:space="preserve">perceber </w:t>
      </w:r>
      <w:r w:rsidRPr="001903A6">
        <w:rPr>
          <w:rFonts w:ascii="Trebuchet MS" w:hAnsi="Trebuchet MS"/>
        </w:rPr>
        <w:t>na lei</w:t>
      </w:r>
      <w:r>
        <w:rPr>
          <w:rFonts w:ascii="Trebuchet MS" w:hAnsi="Trebuchet MS"/>
        </w:rPr>
        <w:t xml:space="preserve"> da</w:t>
      </w:r>
      <w:r w:rsidRPr="001903A6">
        <w:rPr>
          <w:rFonts w:ascii="Trebuchet MS" w:hAnsi="Trebuchet MS"/>
        </w:rPr>
        <w:t xml:space="preserve"> nossa parashá um comentário retrospectivo sobre a conduta de Jacob vis-à-vis seus próprios filhos. No entanto, esse comportamento parece ter sido precisamente o oposto do que está legislado aqui. Jacob </w:t>
      </w:r>
      <w:r w:rsidRPr="00511034">
        <w:rPr>
          <w:rFonts w:ascii="Trebuchet MS" w:hAnsi="Trebuchet MS"/>
          <w:i/>
        </w:rPr>
        <w:t>transferiu</w:t>
      </w:r>
      <w:r>
        <w:rPr>
          <w:rFonts w:ascii="Trebuchet MS" w:hAnsi="Trebuchet MS"/>
        </w:rPr>
        <w:t xml:space="preserve"> </w:t>
      </w:r>
      <w:r w:rsidRPr="001903A6">
        <w:rPr>
          <w:rFonts w:ascii="Trebuchet MS" w:hAnsi="Trebuchet MS"/>
        </w:rPr>
        <w:t>o direito do primogênito de Reuben, seu primogênito real, filho da menos-amada Leah, para José, o primogênito de sua amada Rachel. Isto é o que ele disse a José:</w:t>
      </w:r>
    </w:p>
    <w:p w14:paraId="3A74E9BA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“Agora os dois filhos que nasceram no Egito antes que eu viesse para cá devem ser considerados como meus. Efraim e Menashê serão como Reuben e Shimon para mim” (Gen. 48:5).</w:t>
      </w:r>
    </w:p>
    <w:p w14:paraId="323764DB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Reuben deveria ter recebido uma porção dupla, mas em vez disso foi José quem recebeu. Jacob reconheceu o direito de parte integral da herança para cada um dos dois filhos de José. Então Efraim e Menashê tornaram-se cada um uma tribo por seu próprio direito. Em outras palavras, parece que temos uma clara contradição entre Deuteronômio e Gênesis.</w:t>
      </w:r>
    </w:p>
    <w:p w14:paraId="1224E8B3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Como vamos resolver isso? Pode ser que, apesar do princípio rabínico de que os patriarcas observaram toda a Torá antes dela ter sido dada, esta é apenas uma aproximação. Nem toda lei era precisamente a mesma antes e depois da aliança no Sinai. Por exemplo, Ramban observa que a história de Judá e de Tamar parece descrever uma forma ligeiramente diferente do casamento através do </w:t>
      </w:r>
      <w:r w:rsidRPr="001903A6">
        <w:rPr>
          <w:rFonts w:ascii="Trebuchet MS" w:hAnsi="Trebuchet MS"/>
          <w:i/>
        </w:rPr>
        <w:t>levirato</w:t>
      </w:r>
      <w:r w:rsidRPr="001903A6">
        <w:rPr>
          <w:rFonts w:ascii="Trebuchet MS" w:hAnsi="Trebuchet MS"/>
        </w:rPr>
        <w:t xml:space="preserve"> estabelecido em Deuteronômio (4).</w:t>
      </w:r>
    </w:p>
    <w:p w14:paraId="2CFFC4EA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De qualquer forma, essa não é a única aparente contradição entre Gênesis e </w:t>
      </w:r>
      <w:r>
        <w:rPr>
          <w:rFonts w:ascii="Trebuchet MS" w:hAnsi="Trebuchet MS"/>
        </w:rPr>
        <w:t xml:space="preserve">uma lei </w:t>
      </w:r>
      <w:r w:rsidRPr="001903A6">
        <w:rPr>
          <w:rFonts w:ascii="Trebuchet MS" w:hAnsi="Trebuchet MS"/>
        </w:rPr>
        <w:t xml:space="preserve">posterior. Há outras, não menos importantes, como o fato de Jacob ter se casado </w:t>
      </w:r>
      <w:r w:rsidRPr="001903A6">
        <w:rPr>
          <w:rFonts w:ascii="Trebuchet MS" w:hAnsi="Trebuchet MS"/>
        </w:rPr>
        <w:lastRenderedPageBreak/>
        <w:t>com duas irmãs, algo categoricamente proibido em Levítico 18:18. A solução de Ramban – uma solução elegante, que flui de sua visão radical sobre a conexão entre a lei judaica e a terra de Israel - é que os patriarcas observaram a Torá somente enquanto eles estavam vivendo em Israel (5). Jacob casou-se com Leah e Rachel fora de Israel, na casa de Labão em Haran (situada na Turquia de hoje).</w:t>
      </w:r>
    </w:p>
    <w:p w14:paraId="6B320D16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Abarbanel dá uma explicação muito diferente. A razão de Jacob ter transferido a porção dupla de Reuben para José foi </w:t>
      </w:r>
      <w:r>
        <w:rPr>
          <w:rFonts w:ascii="Trebuchet MS" w:hAnsi="Trebuchet MS"/>
        </w:rPr>
        <w:t>por</w:t>
      </w:r>
      <w:r w:rsidRPr="001903A6">
        <w:rPr>
          <w:rFonts w:ascii="Trebuchet MS" w:hAnsi="Trebuchet MS"/>
        </w:rPr>
        <w:t>que D-s lhe disse para fazê-lo. A lei em Deuteronômio é portanto estabelecida para deixar claro que o caso de José foi uma exceção, não um precedente.</w:t>
      </w:r>
    </w:p>
    <w:p w14:paraId="7A2CFB27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R. Ovadia Sforno sugere que a proibição em Deuteronômio se aplica somente quando a transferência dos direitos do primogênito acontece por causa do pai favorecer uma esposa em detrimento de outra. Ela não se aplica quando o primogênito tenha sido culpado de um pecado que justificasse perder seu privilégio legal. Isso é o que Jacob queria dizer quando, no leito de morte, disse a Reuben: “Impetuoso como a água, você não vai mais ser o primeiro, pois você subiu na cama de seu pai e o </w:t>
      </w:r>
      <w:r>
        <w:rPr>
          <w:rFonts w:ascii="Trebuchet MS" w:hAnsi="Trebuchet MS"/>
        </w:rPr>
        <w:t>profanou</w:t>
      </w:r>
      <w:r w:rsidRPr="001903A6">
        <w:rPr>
          <w:rFonts w:ascii="Trebuchet MS" w:hAnsi="Trebuchet MS"/>
        </w:rPr>
        <w:t>” (Gen. 49:4). Isso é afirmado explicitamente no livro de Crônicas, onde se lê</w:t>
      </w:r>
      <w:r>
        <w:rPr>
          <w:rFonts w:ascii="Trebuchet MS" w:hAnsi="Trebuchet MS"/>
        </w:rPr>
        <w:t xml:space="preserve"> que</w:t>
      </w:r>
      <w:r w:rsidRPr="001903A6">
        <w:rPr>
          <w:rFonts w:ascii="Trebuchet MS" w:hAnsi="Trebuchet MS"/>
        </w:rPr>
        <w:t xml:space="preserve"> “Reuben... era o primogênito, mas quando ele profanou </w:t>
      </w:r>
      <w:r>
        <w:rPr>
          <w:rFonts w:ascii="Trebuchet MS" w:hAnsi="Trebuchet MS"/>
        </w:rPr>
        <w:t xml:space="preserve">a cama de casal </w:t>
      </w:r>
      <w:r w:rsidRPr="001903A6">
        <w:rPr>
          <w:rFonts w:ascii="Trebuchet MS" w:hAnsi="Trebuchet MS"/>
        </w:rPr>
        <w:t>de seu pai, os seus direitos de primogênito foram dados aos filhos de José, filho de Israel” (1 Cron. 5:1).</w:t>
      </w:r>
    </w:p>
    <w:p w14:paraId="2AABF23E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Não é impossível</w:t>
      </w:r>
      <w:r>
        <w:rPr>
          <w:rFonts w:ascii="Trebuchet MS" w:hAnsi="Trebuchet MS"/>
        </w:rPr>
        <w:t xml:space="preserve"> então </w:t>
      </w:r>
      <w:r w:rsidRPr="001903A6">
        <w:rPr>
          <w:rFonts w:ascii="Trebuchet MS" w:hAnsi="Trebuchet MS"/>
        </w:rPr>
        <w:t xml:space="preserve">que haja um tipo completamente diferente de explicação. O que torna a Torá singular é ser um livro </w:t>
      </w:r>
      <w:r>
        <w:rPr>
          <w:rFonts w:ascii="Trebuchet MS" w:hAnsi="Trebuchet MS"/>
        </w:rPr>
        <w:t xml:space="preserve">que trata </w:t>
      </w:r>
      <w:r w:rsidRPr="001903A6">
        <w:rPr>
          <w:rFonts w:ascii="Trebuchet MS" w:hAnsi="Trebuchet MS"/>
        </w:rPr>
        <w:t xml:space="preserve">tanto </w:t>
      </w:r>
      <w:r>
        <w:rPr>
          <w:rFonts w:ascii="Trebuchet MS" w:hAnsi="Trebuchet MS"/>
        </w:rPr>
        <w:t>de</w:t>
      </w:r>
      <w:r w:rsidRPr="001903A6">
        <w:rPr>
          <w:rFonts w:ascii="Trebuchet MS" w:hAnsi="Trebuchet MS"/>
        </w:rPr>
        <w:t xml:space="preserve"> lei (o significado primário de “Torá”) como </w:t>
      </w:r>
      <w:r>
        <w:rPr>
          <w:rFonts w:ascii="Trebuchet MS" w:hAnsi="Trebuchet MS"/>
        </w:rPr>
        <w:t xml:space="preserve">de </w:t>
      </w:r>
      <w:r w:rsidRPr="001903A6">
        <w:rPr>
          <w:rFonts w:ascii="Trebuchet MS" w:hAnsi="Trebuchet MS"/>
        </w:rPr>
        <w:t xml:space="preserve">história. </w:t>
      </w:r>
      <w:r>
        <w:rPr>
          <w:rFonts w:ascii="Trebuchet MS" w:hAnsi="Trebuchet MS"/>
        </w:rPr>
        <w:t>Em outros lugares</w:t>
      </w:r>
      <w:r w:rsidRPr="001903A6">
        <w:rPr>
          <w:rFonts w:ascii="Trebuchet MS" w:hAnsi="Trebuchet MS"/>
        </w:rPr>
        <w:t xml:space="preserve"> estes são gêneros bastante diferentes. Há a lei, uma resposta para a pergunta: “O que podemos ou não fazer?” E há </w:t>
      </w:r>
      <w:r>
        <w:rPr>
          <w:rFonts w:ascii="Trebuchet MS" w:hAnsi="Trebuchet MS"/>
        </w:rPr>
        <w:t xml:space="preserve">a </w:t>
      </w:r>
      <w:r w:rsidRPr="001903A6">
        <w:rPr>
          <w:rFonts w:ascii="Trebuchet MS" w:hAnsi="Trebuchet MS"/>
        </w:rPr>
        <w:t>história, uma resposta para a pergunta: “O que aconteceu?” Não há nenhuma relação óbvia entre essas duas questões.</w:t>
      </w:r>
    </w:p>
    <w:p w14:paraId="2178FDBB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Não é assim no Judaísmo. Em muitos casos, especialmente em </w:t>
      </w:r>
      <w:r w:rsidRPr="001903A6">
        <w:rPr>
          <w:rFonts w:ascii="Trebuchet MS" w:hAnsi="Trebuchet MS"/>
          <w:i/>
        </w:rPr>
        <w:t>mishpat</w:t>
      </w:r>
      <w:r w:rsidRPr="001903A6">
        <w:rPr>
          <w:rFonts w:ascii="Trebuchet MS" w:hAnsi="Trebuchet MS"/>
        </w:rPr>
        <w:t>, o direito civil, há uma conexão entre direito e história, entre o que aconteceu e o que deveria ou não deveria ser feito (6). Grande parte da lei bíblica, por exemplo, emerge diretamente da experiência dos israelitas na escravidão no Egito, como se dissesse: Isto é o que os nossos antepassados sofreram no Egito, portanto, não faça o mesmo. Não oprima seus trabalhadores. Não transforme um israelita em escravo ao longo da vida. Não deixe seus servos ou empregados sem um dia de descanso semanal. E assim por diante.</w:t>
      </w:r>
    </w:p>
    <w:p w14:paraId="39AAB42B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Nem toda lei bíblica é assim, mas algumas são. Representa a verdade aprendida</w:t>
      </w:r>
      <w:r>
        <w:rPr>
          <w:rFonts w:ascii="Trebuchet MS" w:hAnsi="Trebuchet MS"/>
        </w:rPr>
        <w:t xml:space="preserve"> através da experiência;</w:t>
      </w:r>
      <w:r w:rsidRPr="001903A6">
        <w:rPr>
          <w:rFonts w:ascii="Trebuchet MS" w:hAnsi="Trebuchet MS"/>
        </w:rPr>
        <w:t xml:space="preserve"> justiça</w:t>
      </w:r>
      <w:r>
        <w:rPr>
          <w:rFonts w:ascii="Trebuchet MS" w:hAnsi="Trebuchet MS"/>
        </w:rPr>
        <w:t xml:space="preserve"> na medida que </w:t>
      </w:r>
      <w:r w:rsidRPr="001903A6">
        <w:rPr>
          <w:rFonts w:ascii="Trebuchet MS" w:hAnsi="Trebuchet MS"/>
        </w:rPr>
        <w:t xml:space="preserve">toma forma através das lições da história. A Torá considera o passado como um guia para o futuro: muitas vezes positivo, mas por vezes também negativo. Gênesis nos diz, entre outras coisas, que o favoritismo de Jacob </w:t>
      </w:r>
      <w:r>
        <w:rPr>
          <w:rFonts w:ascii="Trebuchet MS" w:hAnsi="Trebuchet MS"/>
        </w:rPr>
        <w:t>par</w:t>
      </w:r>
      <w:r w:rsidRPr="001903A6">
        <w:rPr>
          <w:rFonts w:ascii="Trebuchet MS" w:hAnsi="Trebuchet MS"/>
        </w:rPr>
        <w:t xml:space="preserve">a Rachel sobre Leah, e </w:t>
      </w:r>
      <w:r>
        <w:rPr>
          <w:rFonts w:ascii="Trebuchet MS" w:hAnsi="Trebuchet MS"/>
        </w:rPr>
        <w:t xml:space="preserve">para </w:t>
      </w:r>
      <w:r w:rsidRPr="001903A6">
        <w:rPr>
          <w:rFonts w:ascii="Trebuchet MS" w:hAnsi="Trebuchet MS"/>
        </w:rPr>
        <w:t xml:space="preserve">o primogênito de Rachel, José, sobre o primogênito de Leah, Reuben, </w:t>
      </w:r>
      <w:r>
        <w:rPr>
          <w:rFonts w:ascii="Trebuchet MS" w:hAnsi="Trebuchet MS"/>
        </w:rPr>
        <w:t xml:space="preserve">foi uma causa de prolongados </w:t>
      </w:r>
      <w:r w:rsidRPr="001903A6">
        <w:rPr>
          <w:rFonts w:ascii="Trebuchet MS" w:hAnsi="Trebuchet MS"/>
        </w:rPr>
        <w:t xml:space="preserve">conflitos dentro da família. </w:t>
      </w:r>
      <w:r>
        <w:rPr>
          <w:rFonts w:ascii="Trebuchet MS" w:hAnsi="Trebuchet MS"/>
        </w:rPr>
        <w:t>Q</w:t>
      </w:r>
      <w:r w:rsidRPr="001903A6">
        <w:rPr>
          <w:rFonts w:ascii="Trebuchet MS" w:hAnsi="Trebuchet MS"/>
        </w:rPr>
        <w:t xml:space="preserve">uase levou os irmãos a matar José, e </w:t>
      </w:r>
      <w:r>
        <w:rPr>
          <w:rFonts w:ascii="Trebuchet MS" w:hAnsi="Trebuchet MS"/>
        </w:rPr>
        <w:t>levou-os a</w:t>
      </w:r>
      <w:r w:rsidRPr="001903A6">
        <w:rPr>
          <w:rFonts w:ascii="Trebuchet MS" w:hAnsi="Trebuchet MS"/>
        </w:rPr>
        <w:t xml:space="preserve"> vendê-lo como escravo. </w:t>
      </w:r>
      <w:r w:rsidRPr="001903A6">
        <w:rPr>
          <w:rFonts w:ascii="Trebuchet MS" w:hAnsi="Trebuchet MS"/>
        </w:rPr>
        <w:lastRenderedPageBreak/>
        <w:t xml:space="preserve">De acordo com Ibn Ezra, o ressentimento sentido pelos descendentes de Reuben resistiu por várias gerações, e foi a razão pela qual Datan e Aviram, ambos </w:t>
      </w:r>
      <w:r w:rsidRPr="001903A6">
        <w:rPr>
          <w:rFonts w:ascii="Trebuchet MS" w:hAnsi="Trebuchet MS"/>
          <w:i/>
        </w:rPr>
        <w:t>Reubenitas</w:t>
      </w:r>
      <w:r w:rsidRPr="001903A6">
        <w:rPr>
          <w:rFonts w:ascii="Trebuchet MS" w:hAnsi="Trebuchet MS"/>
        </w:rPr>
        <w:t>, tornaram-se figuras-chave na rebelião de Korach (7).</w:t>
      </w:r>
    </w:p>
    <w:p w14:paraId="64CEA92A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Jacob fez o que fez como uma expressão de amor. Seu sentimento por Rachel foi esmagador, como o foi para José, </w:t>
      </w:r>
      <w:r>
        <w:rPr>
          <w:rFonts w:ascii="Trebuchet MS" w:hAnsi="Trebuchet MS"/>
        </w:rPr>
        <w:t>o</w:t>
      </w:r>
      <w:r w:rsidRPr="001903A6">
        <w:rPr>
          <w:rFonts w:ascii="Trebuchet MS" w:hAnsi="Trebuchet MS"/>
        </w:rPr>
        <w:t xml:space="preserve"> filho mais velho</w:t>
      </w:r>
      <w:r>
        <w:rPr>
          <w:rFonts w:ascii="Trebuchet MS" w:hAnsi="Trebuchet MS"/>
        </w:rPr>
        <w:t xml:space="preserve"> dela</w:t>
      </w:r>
      <w:r w:rsidRPr="001903A6">
        <w:rPr>
          <w:rFonts w:ascii="Trebuchet MS" w:hAnsi="Trebuchet MS"/>
        </w:rPr>
        <w:t xml:space="preserve">. O amor é central para o judaísmo: não apenas o amor entre marido e mulher, pai e filho, mas também o amor a D-s, ao próximo e ao estranho. </w:t>
      </w:r>
      <w:r w:rsidRPr="00F954E7">
        <w:rPr>
          <w:rFonts w:ascii="Trebuchet MS" w:hAnsi="Trebuchet MS"/>
          <w:i/>
        </w:rPr>
        <w:t>Mas o amor não é suficiente</w:t>
      </w:r>
      <w:r w:rsidRPr="001903A6">
        <w:rPr>
          <w:rFonts w:ascii="Trebuchet MS" w:hAnsi="Trebuchet MS"/>
        </w:rPr>
        <w:t xml:space="preserve">. Também deve haver justiça e a aplicação imparcial da lei. As pessoas devem sentir que a lei está do lado da justiça. Você não pode construir uma sociedade </w:t>
      </w:r>
      <w:r>
        <w:rPr>
          <w:rFonts w:ascii="Trebuchet MS" w:hAnsi="Trebuchet MS"/>
        </w:rPr>
        <w:t>somente em cima d</w:t>
      </w:r>
      <w:r w:rsidRPr="001903A6">
        <w:rPr>
          <w:rFonts w:ascii="Trebuchet MS" w:hAnsi="Trebuchet MS"/>
        </w:rPr>
        <w:t xml:space="preserve">o amor. O amor une, mas também divide. </w:t>
      </w:r>
      <w:r>
        <w:rPr>
          <w:rFonts w:ascii="Trebuchet MS" w:hAnsi="Trebuchet MS"/>
        </w:rPr>
        <w:t>D</w:t>
      </w:r>
      <w:r w:rsidRPr="001903A6">
        <w:rPr>
          <w:rFonts w:ascii="Trebuchet MS" w:hAnsi="Trebuchet MS"/>
        </w:rPr>
        <w:t xml:space="preserve">eixa o menos-amado </w:t>
      </w:r>
      <w:r>
        <w:rPr>
          <w:rFonts w:ascii="Trebuchet MS" w:hAnsi="Trebuchet MS"/>
        </w:rPr>
        <w:t xml:space="preserve">sentindo-se </w:t>
      </w:r>
      <w:r w:rsidRPr="001903A6">
        <w:rPr>
          <w:rFonts w:ascii="Trebuchet MS" w:hAnsi="Trebuchet MS"/>
        </w:rPr>
        <w:t xml:space="preserve">abandonado, negligenciado, ignorado, “odiado”. Pode </w:t>
      </w:r>
      <w:r>
        <w:rPr>
          <w:rFonts w:ascii="Trebuchet MS" w:hAnsi="Trebuchet MS"/>
        </w:rPr>
        <w:t xml:space="preserve">despertar briga, </w:t>
      </w:r>
      <w:r w:rsidRPr="001903A6">
        <w:rPr>
          <w:rFonts w:ascii="Trebuchet MS" w:hAnsi="Trebuchet MS"/>
        </w:rPr>
        <w:t>inveja e um turbilhão de violência e vingança.</w:t>
      </w:r>
    </w:p>
    <w:p w14:paraId="673C9E66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Isso é o que a Torá está nos dizendo quando usa associação verbal para conectar a lei em nossa parashá com a história de Jacob e seus filhos em Gênesis. Está nos ensinando que a lei não é arbitrária. Ela </w:t>
      </w:r>
      <w:r>
        <w:rPr>
          <w:rFonts w:ascii="Trebuchet MS" w:hAnsi="Trebuchet MS"/>
        </w:rPr>
        <w:t xml:space="preserve">é guiada pela </w:t>
      </w:r>
      <w:r w:rsidRPr="001903A6">
        <w:rPr>
          <w:rFonts w:ascii="Trebuchet MS" w:hAnsi="Trebuchet MS"/>
        </w:rPr>
        <w:t xml:space="preserve">experiência da história. </w:t>
      </w:r>
      <w:r>
        <w:rPr>
          <w:rFonts w:ascii="Trebuchet MS" w:hAnsi="Trebuchet MS"/>
        </w:rPr>
        <w:t>A l</w:t>
      </w:r>
      <w:r w:rsidRPr="001903A6">
        <w:rPr>
          <w:rFonts w:ascii="Trebuchet MS" w:hAnsi="Trebuchet MS"/>
        </w:rPr>
        <w:t xml:space="preserve">ei é em si um </w:t>
      </w:r>
      <w:r w:rsidRPr="001903A6">
        <w:rPr>
          <w:rFonts w:ascii="Trebuchet MS" w:hAnsi="Trebuchet MS"/>
          <w:i/>
        </w:rPr>
        <w:t>Tikun</w:t>
      </w:r>
      <w:r w:rsidRPr="001903A6">
        <w:rPr>
          <w:rFonts w:ascii="Trebuchet MS" w:hAnsi="Trebuchet MS"/>
        </w:rPr>
        <w:t xml:space="preserve">, uma forma de consertar o que deu errado no passado. Devemos aprender a amar; mas também </w:t>
      </w:r>
      <w:r>
        <w:rPr>
          <w:rFonts w:ascii="Trebuchet MS" w:hAnsi="Trebuchet MS"/>
        </w:rPr>
        <w:t xml:space="preserve">devemos </w:t>
      </w:r>
      <w:r w:rsidRPr="001903A6">
        <w:rPr>
          <w:rFonts w:ascii="Trebuchet MS" w:hAnsi="Trebuchet MS"/>
        </w:rPr>
        <w:t>saber os limites do amor, e a importância da justiça-como-equidade tanto nas famílias quanto na sociedade.</w:t>
      </w:r>
    </w:p>
    <w:p w14:paraId="1B95AFB6" w14:textId="77777777" w:rsidR="001E576E" w:rsidRPr="001903A6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NOTAS:</w:t>
      </w:r>
    </w:p>
    <w:p w14:paraId="588287DF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Isso já está implícito na história de Jacob, Reuben e José: sobre isso, veja abaixo. Os sábios também inferiram isso do episódio das filhas de Tzelofehad. Veja Num. 27:7, Baba Batra 118b.</w:t>
      </w:r>
    </w:p>
    <w:p w14:paraId="22A35D0A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Sanhedrin 107a.</w:t>
      </w:r>
    </w:p>
    <w:p w14:paraId="7035191A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Gen. 29:25-26. Uma referência à compra por Jacob do direito de </w:t>
      </w:r>
      <w:r>
        <w:rPr>
          <w:rFonts w:ascii="Trebuchet MS" w:hAnsi="Trebuchet MS"/>
        </w:rPr>
        <w:t xml:space="preserve">primogenitura </w:t>
      </w:r>
      <w:r w:rsidRPr="001903A6">
        <w:rPr>
          <w:rFonts w:ascii="Trebuchet MS" w:hAnsi="Trebuchet MS"/>
        </w:rPr>
        <w:t>de Esaú e a tomada de sua benção.</w:t>
      </w:r>
    </w:p>
    <w:p w14:paraId="4010FDCC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Veja Ramban em Gen. 38:8</w:t>
      </w:r>
    </w:p>
    <w:p w14:paraId="66E53E9E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Ramban em Gen. 26:5</w:t>
      </w:r>
    </w:p>
    <w:p w14:paraId="03A0267E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 xml:space="preserve">Esse é o assunto do famoso ensaio de Robert Cover, ‘Nomos and Narrative’, Harvard Law Review 1983-1984, disponível em: </w:t>
      </w:r>
      <w:hyperlink r:id="rId8" w:history="1">
        <w:r w:rsidRPr="001903A6">
          <w:rPr>
            <w:rStyle w:val="Hyperlink"/>
            <w:rFonts w:ascii="Trebuchet MS" w:hAnsi="Trebuchet MS"/>
            <w:color w:val="auto"/>
          </w:rPr>
          <w:t>http://digitalcommons.law.yale.edu/cgi/viewcontent.cgi?article=3690&amp;context=fss_papers</w:t>
        </w:r>
      </w:hyperlink>
      <w:r w:rsidRPr="001903A6">
        <w:rPr>
          <w:rFonts w:ascii="Trebuchet MS" w:hAnsi="Trebuchet MS"/>
        </w:rPr>
        <w:t xml:space="preserve"> . A visão de Cover era que “Nenhum conjunto de instituições legais ou prescrições existe para além das narrativas que a localiza e lhe dá significado. Para cada constituição há um épico; para cada Decálogo, uma escritura”.</w:t>
      </w:r>
    </w:p>
    <w:p w14:paraId="31F16340" w14:textId="77777777" w:rsidR="001E576E" w:rsidRPr="001903A6" w:rsidRDefault="001E576E" w:rsidP="001E576E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/>
        </w:rPr>
        <w:t>Ibn Ezra para Num. 16:1.</w:t>
      </w:r>
    </w:p>
    <w:p w14:paraId="14795FED" w14:textId="77777777" w:rsidR="001E576E" w:rsidRPr="001E576E" w:rsidRDefault="001E576E" w:rsidP="001E576E">
      <w:pPr>
        <w:pStyle w:val="ListParagraph"/>
        <w:spacing w:after="0" w:line="240" w:lineRule="auto"/>
        <w:ind w:left="0"/>
        <w:contextualSpacing w:val="0"/>
        <w:rPr>
          <w:rFonts w:ascii="Trebuchet MS" w:hAnsi="Trebuchet MS"/>
          <w:lang w:val="en-US"/>
        </w:rPr>
      </w:pPr>
      <w:r w:rsidRPr="001E576E">
        <w:rPr>
          <w:rFonts w:ascii="Trebuchet MS" w:hAnsi="Trebuchet MS"/>
          <w:lang w:val="en-US"/>
        </w:rPr>
        <w:t>Texto original: “</w:t>
      </w:r>
      <w:r w:rsidRPr="001E576E">
        <w:rPr>
          <w:rFonts w:ascii="Trebuchet MS" w:hAnsi="Trebuchet MS"/>
          <w:b/>
          <w:lang w:val="en-US"/>
        </w:rPr>
        <w:t>LOVE IS NOT ENOUGH</w:t>
      </w:r>
      <w:r w:rsidRPr="001E576E">
        <w:rPr>
          <w:rFonts w:ascii="Trebuchet MS" w:hAnsi="Trebuchet MS"/>
          <w:lang w:val="en-US"/>
        </w:rPr>
        <w:t>” por Rabino Jonathan Sacks.</w:t>
      </w:r>
    </w:p>
    <w:p w14:paraId="0F61BA21" w14:textId="77777777" w:rsidR="00821157" w:rsidRPr="001E576E" w:rsidRDefault="001E576E" w:rsidP="001E576E">
      <w:pPr>
        <w:spacing w:after="0" w:line="240" w:lineRule="auto"/>
        <w:rPr>
          <w:rFonts w:ascii="Trebuchet MS" w:hAnsi="Trebuchet MS"/>
        </w:rPr>
      </w:pPr>
      <w:r w:rsidRPr="001903A6">
        <w:rPr>
          <w:rFonts w:ascii="Trebuchet MS" w:hAnsi="Trebuchet MS" w:cs="Trebuchet MS"/>
          <w:color w:val="000000"/>
        </w:rPr>
        <w:t xml:space="preserve">Tradução Rachel Klinger Azulay para a </w:t>
      </w:r>
      <w:r w:rsidRPr="001903A6">
        <w:rPr>
          <w:rFonts w:ascii="Trebuchet MS" w:hAnsi="Trebuchet MS" w:cs="Trebuchet MS,Italic"/>
          <w:i/>
          <w:iCs/>
          <w:color w:val="4F82BE"/>
        </w:rPr>
        <w:t>Sinagoga Edmond J. Safra - Ipanema</w:t>
      </w:r>
    </w:p>
    <w:sectPr w:rsidR="00821157" w:rsidRPr="001E57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275B" w14:textId="77777777" w:rsidR="001F3E95" w:rsidRDefault="001F3E95" w:rsidP="00E64BB2">
      <w:pPr>
        <w:spacing w:after="0" w:line="240" w:lineRule="auto"/>
      </w:pPr>
      <w:r>
        <w:separator/>
      </w:r>
    </w:p>
  </w:endnote>
  <w:endnote w:type="continuationSeparator" w:id="0">
    <w:p w14:paraId="2654EEF1" w14:textId="77777777" w:rsidR="001F3E95" w:rsidRDefault="001F3E95" w:rsidP="00E6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06C14" w14:textId="77777777" w:rsidR="00390714" w:rsidRDefault="00390714">
    <w:pPr>
      <w:pStyle w:val="Footer"/>
    </w:pPr>
  </w:p>
  <w:p w14:paraId="39FF26DD" w14:textId="77777777" w:rsidR="00E64BB2" w:rsidRDefault="00E64BB2">
    <w:pPr>
      <w:pStyle w:val="Footer"/>
    </w:pPr>
    <w:r w:rsidRPr="00E64BB2">
      <w:rPr>
        <w:noProof/>
        <w:lang w:val="en-US" w:bidi="he-IL"/>
      </w:rPr>
      <w:drawing>
        <wp:inline distT="0" distB="0" distL="0" distR="0" wp14:anchorId="041EEC91" wp14:editId="31663445">
          <wp:extent cx="5400040" cy="935515"/>
          <wp:effectExtent l="0" t="0" r="0" b="0"/>
          <wp:docPr id="1" name="Picture 1" descr="C:\Users\robertohaddad\AppData\Local\Microsoft\Windows\Temporary Internet Files\Content.Outlook\9GNI8R1B\CandC-portuges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haddad\AppData\Local\Microsoft\Windows\Temporary Internet Files\Content.Outlook\9GNI8R1B\CandC-portugese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2BFD5" w14:textId="77777777" w:rsidR="00E64BB2" w:rsidRDefault="00E64B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6200" w14:textId="77777777" w:rsidR="001F3E95" w:rsidRDefault="001F3E95" w:rsidP="00E64BB2">
      <w:pPr>
        <w:spacing w:after="0" w:line="240" w:lineRule="auto"/>
      </w:pPr>
      <w:r>
        <w:separator/>
      </w:r>
    </w:p>
  </w:footnote>
  <w:footnote w:type="continuationSeparator" w:id="0">
    <w:p w14:paraId="522B2F0A" w14:textId="77777777" w:rsidR="001F3E95" w:rsidRDefault="001F3E95" w:rsidP="00E6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EB9B" w14:textId="77777777" w:rsidR="00E64BB2" w:rsidRDefault="00E64BB2">
    <w:pPr>
      <w:pStyle w:val="Header"/>
    </w:pPr>
    <w:r w:rsidRPr="00E64BB2">
      <w:rPr>
        <w:noProof/>
        <w:lang w:val="en-US" w:bidi="he-IL"/>
      </w:rPr>
      <w:drawing>
        <wp:inline distT="0" distB="0" distL="0" distR="0" wp14:anchorId="76D9C931" wp14:editId="1C0843D4">
          <wp:extent cx="5400040" cy="1567429"/>
          <wp:effectExtent l="0" t="0" r="0" b="0"/>
          <wp:docPr id="2" name="Picture 2" descr="C:\Users\robertohaddad\AppData\Local\Microsoft\Windows\Temporary Internet Files\Content.Outlook\9GNI8R1B\CandC-spirituality-portugese-57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ohaddad\AppData\Local\Microsoft\Windows\Temporary Internet Files\Content.Outlook\9GNI8R1B\CandC-spirituality-portugese-57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67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64417" w14:textId="77777777" w:rsidR="00E64BB2" w:rsidRDefault="00E64BB2">
    <w:pPr>
      <w:pStyle w:val="Header"/>
    </w:pPr>
  </w:p>
  <w:p w14:paraId="7CCF1BB1" w14:textId="77777777" w:rsidR="00390714" w:rsidRDefault="003907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2053"/>
    <w:multiLevelType w:val="hybridMultilevel"/>
    <w:tmpl w:val="7186A5A6"/>
    <w:lvl w:ilvl="0" w:tplc="EE4EB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E2397"/>
    <w:multiLevelType w:val="hybridMultilevel"/>
    <w:tmpl w:val="204C4650"/>
    <w:lvl w:ilvl="0" w:tplc="94389E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6525"/>
    <w:multiLevelType w:val="hybridMultilevel"/>
    <w:tmpl w:val="2702D90A"/>
    <w:lvl w:ilvl="0" w:tplc="EE4EB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D55AE"/>
    <w:multiLevelType w:val="hybridMultilevel"/>
    <w:tmpl w:val="4746B18C"/>
    <w:lvl w:ilvl="0" w:tplc="A96E7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047E3"/>
    <w:multiLevelType w:val="hybridMultilevel"/>
    <w:tmpl w:val="66509DE4"/>
    <w:lvl w:ilvl="0" w:tplc="F2565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500A9"/>
    <w:multiLevelType w:val="hybridMultilevel"/>
    <w:tmpl w:val="28F00900"/>
    <w:lvl w:ilvl="0" w:tplc="F1F01A3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44989"/>
    <w:multiLevelType w:val="hybridMultilevel"/>
    <w:tmpl w:val="C7D820FA"/>
    <w:lvl w:ilvl="0" w:tplc="EE4EB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569FF"/>
    <w:multiLevelType w:val="multilevel"/>
    <w:tmpl w:val="EF261C7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8">
    <w:nsid w:val="1D642AA0"/>
    <w:multiLevelType w:val="multilevel"/>
    <w:tmpl w:val="55287860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">
    <w:nsid w:val="1E7E08CC"/>
    <w:multiLevelType w:val="hybridMultilevel"/>
    <w:tmpl w:val="6EA419DA"/>
    <w:lvl w:ilvl="0" w:tplc="EE4EB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713E9"/>
    <w:multiLevelType w:val="multilevel"/>
    <w:tmpl w:val="180007F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1">
    <w:nsid w:val="357A572E"/>
    <w:multiLevelType w:val="multilevel"/>
    <w:tmpl w:val="F0D009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2">
    <w:nsid w:val="36870B60"/>
    <w:multiLevelType w:val="hybridMultilevel"/>
    <w:tmpl w:val="3EF6BFE8"/>
    <w:lvl w:ilvl="0" w:tplc="EE4EB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D28CF"/>
    <w:multiLevelType w:val="multilevel"/>
    <w:tmpl w:val="EBAA615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4">
    <w:nsid w:val="3A3A7DA6"/>
    <w:multiLevelType w:val="hybridMultilevel"/>
    <w:tmpl w:val="B86ECEDA"/>
    <w:lvl w:ilvl="0" w:tplc="954CEF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A01676"/>
    <w:multiLevelType w:val="hybridMultilevel"/>
    <w:tmpl w:val="509A81F8"/>
    <w:lvl w:ilvl="0" w:tplc="9A6A70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668BF"/>
    <w:multiLevelType w:val="hybridMultilevel"/>
    <w:tmpl w:val="68C00590"/>
    <w:lvl w:ilvl="0" w:tplc="41E8B3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C0A"/>
    <w:multiLevelType w:val="hybridMultilevel"/>
    <w:tmpl w:val="C3DA28AA"/>
    <w:lvl w:ilvl="0" w:tplc="F3E0A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9C6A4A"/>
    <w:multiLevelType w:val="hybridMultilevel"/>
    <w:tmpl w:val="A70CF080"/>
    <w:lvl w:ilvl="0" w:tplc="0C043C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14A30"/>
    <w:multiLevelType w:val="multilevel"/>
    <w:tmpl w:val="47FC23A0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0">
    <w:nsid w:val="6B8E7078"/>
    <w:multiLevelType w:val="multilevel"/>
    <w:tmpl w:val="7126584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1">
    <w:nsid w:val="6DC1623B"/>
    <w:multiLevelType w:val="hybridMultilevel"/>
    <w:tmpl w:val="7D2458A2"/>
    <w:lvl w:ilvl="0" w:tplc="EE4EB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137145"/>
    <w:multiLevelType w:val="hybridMultilevel"/>
    <w:tmpl w:val="4FE2275A"/>
    <w:lvl w:ilvl="0" w:tplc="2604C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80023"/>
    <w:multiLevelType w:val="hybridMultilevel"/>
    <w:tmpl w:val="93DA9326"/>
    <w:lvl w:ilvl="0" w:tplc="A782CD3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1CE0"/>
    <w:multiLevelType w:val="hybridMultilevel"/>
    <w:tmpl w:val="CA92D2C0"/>
    <w:lvl w:ilvl="0" w:tplc="43663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4"/>
  </w:num>
  <w:num w:numId="5">
    <w:abstractNumId w:val="14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13"/>
  </w:num>
  <w:num w:numId="12">
    <w:abstractNumId w:val="7"/>
  </w:num>
  <w:num w:numId="13">
    <w:abstractNumId w:val="10"/>
  </w:num>
  <w:num w:numId="14">
    <w:abstractNumId w:val="23"/>
  </w:num>
  <w:num w:numId="15">
    <w:abstractNumId w:val="22"/>
  </w:num>
  <w:num w:numId="16">
    <w:abstractNumId w:val="21"/>
  </w:num>
  <w:num w:numId="17">
    <w:abstractNumId w:val="2"/>
  </w:num>
  <w:num w:numId="18">
    <w:abstractNumId w:val="8"/>
  </w:num>
  <w:num w:numId="19">
    <w:abstractNumId w:val="9"/>
  </w:num>
  <w:num w:numId="20">
    <w:abstractNumId w:val="11"/>
  </w:num>
  <w:num w:numId="21">
    <w:abstractNumId w:val="12"/>
  </w:num>
  <w:num w:numId="22">
    <w:abstractNumId w:val="20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10"/>
    <w:rsid w:val="00006FF0"/>
    <w:rsid w:val="000422AE"/>
    <w:rsid w:val="000702D5"/>
    <w:rsid w:val="000749F0"/>
    <w:rsid w:val="00076381"/>
    <w:rsid w:val="00094948"/>
    <w:rsid w:val="00096394"/>
    <w:rsid w:val="000974B5"/>
    <w:rsid w:val="000D1850"/>
    <w:rsid w:val="000D6BFC"/>
    <w:rsid w:val="00114A67"/>
    <w:rsid w:val="00147CF1"/>
    <w:rsid w:val="00157C48"/>
    <w:rsid w:val="00172162"/>
    <w:rsid w:val="00174D54"/>
    <w:rsid w:val="001768C0"/>
    <w:rsid w:val="001E514A"/>
    <w:rsid w:val="001E576E"/>
    <w:rsid w:val="001F3E95"/>
    <w:rsid w:val="001F6597"/>
    <w:rsid w:val="002016DA"/>
    <w:rsid w:val="00223AB7"/>
    <w:rsid w:val="00243ABC"/>
    <w:rsid w:val="002A79B2"/>
    <w:rsid w:val="002C6208"/>
    <w:rsid w:val="002D0FC3"/>
    <w:rsid w:val="002F7E3C"/>
    <w:rsid w:val="00312C03"/>
    <w:rsid w:val="00360874"/>
    <w:rsid w:val="00390714"/>
    <w:rsid w:val="003B6C40"/>
    <w:rsid w:val="003C4F84"/>
    <w:rsid w:val="003E2667"/>
    <w:rsid w:val="00401E95"/>
    <w:rsid w:val="00412342"/>
    <w:rsid w:val="00412532"/>
    <w:rsid w:val="00426308"/>
    <w:rsid w:val="004351F7"/>
    <w:rsid w:val="00471DC6"/>
    <w:rsid w:val="00476957"/>
    <w:rsid w:val="004A01C5"/>
    <w:rsid w:val="004B287C"/>
    <w:rsid w:val="004B3FF5"/>
    <w:rsid w:val="004C1F8C"/>
    <w:rsid w:val="004F786C"/>
    <w:rsid w:val="00542578"/>
    <w:rsid w:val="00550B9A"/>
    <w:rsid w:val="0059662B"/>
    <w:rsid w:val="005A426C"/>
    <w:rsid w:val="005D292B"/>
    <w:rsid w:val="00653CB0"/>
    <w:rsid w:val="00656F4F"/>
    <w:rsid w:val="00661B00"/>
    <w:rsid w:val="00677C6D"/>
    <w:rsid w:val="006F0E21"/>
    <w:rsid w:val="006F67CE"/>
    <w:rsid w:val="00730175"/>
    <w:rsid w:val="00763699"/>
    <w:rsid w:val="00773AD7"/>
    <w:rsid w:val="007872C6"/>
    <w:rsid w:val="00795054"/>
    <w:rsid w:val="007D5A7C"/>
    <w:rsid w:val="007D6DA1"/>
    <w:rsid w:val="007F3FBB"/>
    <w:rsid w:val="008101FF"/>
    <w:rsid w:val="008120F3"/>
    <w:rsid w:val="00821157"/>
    <w:rsid w:val="00825D73"/>
    <w:rsid w:val="0085221C"/>
    <w:rsid w:val="00875CFB"/>
    <w:rsid w:val="008E0638"/>
    <w:rsid w:val="008E7283"/>
    <w:rsid w:val="008F2D0A"/>
    <w:rsid w:val="00915B64"/>
    <w:rsid w:val="009216A5"/>
    <w:rsid w:val="0092420D"/>
    <w:rsid w:val="00925AF2"/>
    <w:rsid w:val="009269E7"/>
    <w:rsid w:val="009579A8"/>
    <w:rsid w:val="00975922"/>
    <w:rsid w:val="009A091F"/>
    <w:rsid w:val="009B3037"/>
    <w:rsid w:val="00A05ED3"/>
    <w:rsid w:val="00A5090F"/>
    <w:rsid w:val="00A511DC"/>
    <w:rsid w:val="00A70DFC"/>
    <w:rsid w:val="00A72752"/>
    <w:rsid w:val="00A77B02"/>
    <w:rsid w:val="00A87E42"/>
    <w:rsid w:val="00AA0744"/>
    <w:rsid w:val="00AA2D40"/>
    <w:rsid w:val="00B25451"/>
    <w:rsid w:val="00B25E0A"/>
    <w:rsid w:val="00B36377"/>
    <w:rsid w:val="00B41946"/>
    <w:rsid w:val="00B44AFB"/>
    <w:rsid w:val="00B57BE8"/>
    <w:rsid w:val="00B65787"/>
    <w:rsid w:val="00B7534B"/>
    <w:rsid w:val="00B933BA"/>
    <w:rsid w:val="00BF073C"/>
    <w:rsid w:val="00C102B2"/>
    <w:rsid w:val="00C16FDF"/>
    <w:rsid w:val="00C3340B"/>
    <w:rsid w:val="00C669DF"/>
    <w:rsid w:val="00C84CA8"/>
    <w:rsid w:val="00C86B4D"/>
    <w:rsid w:val="00CE4084"/>
    <w:rsid w:val="00D52686"/>
    <w:rsid w:val="00D65A69"/>
    <w:rsid w:val="00D80645"/>
    <w:rsid w:val="00D91A10"/>
    <w:rsid w:val="00DB17CD"/>
    <w:rsid w:val="00DB5318"/>
    <w:rsid w:val="00DE4737"/>
    <w:rsid w:val="00E1014B"/>
    <w:rsid w:val="00E62F2B"/>
    <w:rsid w:val="00E64BB2"/>
    <w:rsid w:val="00E92AA8"/>
    <w:rsid w:val="00E974F0"/>
    <w:rsid w:val="00ED5DF5"/>
    <w:rsid w:val="00EE2C0D"/>
    <w:rsid w:val="00F20A17"/>
    <w:rsid w:val="00F30C62"/>
    <w:rsid w:val="00F74FC1"/>
    <w:rsid w:val="00F92458"/>
    <w:rsid w:val="00FA11FF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47BB"/>
  <w15:docId w15:val="{16603578-8F87-46D1-A1C6-F16CC6F4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B2"/>
  </w:style>
  <w:style w:type="paragraph" w:styleId="Footer">
    <w:name w:val="footer"/>
    <w:basedOn w:val="Normal"/>
    <w:link w:val="FooterChar"/>
    <w:uiPriority w:val="99"/>
    <w:unhideWhenUsed/>
    <w:rsid w:val="00E6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B2"/>
  </w:style>
  <w:style w:type="paragraph" w:styleId="FootnoteText">
    <w:name w:val="footnote text"/>
    <w:basedOn w:val="Normal"/>
    <w:link w:val="FootnoteTextChar"/>
    <w:uiPriority w:val="99"/>
    <w:semiHidden/>
    <w:unhideWhenUsed/>
    <w:rsid w:val="00795054"/>
    <w:pPr>
      <w:spacing w:after="0" w:line="360" w:lineRule="exact"/>
    </w:pPr>
    <w:rPr>
      <w:rFonts w:ascii="Calisto MT" w:eastAsia="Times New Roman" w:hAnsi="Calisto MT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054"/>
    <w:rPr>
      <w:rFonts w:ascii="Calisto MT" w:eastAsia="Times New Roman" w:hAnsi="Calisto M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gitalcommons.law.yale.edu/cgi/viewcontent.cgi?article=3690&amp;context=fss_paper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F05-F489-AA4D-879C-3AB9DBB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9183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Debby Ifield</cp:lastModifiedBy>
  <cp:revision>2</cp:revision>
  <dcterms:created xsi:type="dcterms:W3CDTF">2016-09-15T10:07:00Z</dcterms:created>
  <dcterms:modified xsi:type="dcterms:W3CDTF">2016-09-15T10:07:00Z</dcterms:modified>
</cp:coreProperties>
</file>